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3C" w:rsidRDefault="007E63CE" w:rsidP="00555834">
      <w:pPr>
        <w:spacing w:line="480" w:lineRule="auto"/>
      </w:pPr>
      <w:r>
        <w:t>Tanner Bingaman</w:t>
      </w:r>
    </w:p>
    <w:p w:rsidR="007E63CE" w:rsidRDefault="0028703C" w:rsidP="00555834">
      <w:pPr>
        <w:spacing w:line="480" w:lineRule="auto"/>
      </w:pPr>
      <w:r>
        <w:t>Word Count: 803</w:t>
      </w:r>
    </w:p>
    <w:p w:rsidR="007E63CE" w:rsidRDefault="00570F9C" w:rsidP="00555834">
      <w:pPr>
        <w:spacing w:line="480" w:lineRule="auto"/>
        <w:jc w:val="center"/>
      </w:pPr>
      <w:r>
        <w:t>Contradictions as Non-Rational Pragmatisms</w:t>
      </w:r>
    </w:p>
    <w:p w:rsidR="00E8064D" w:rsidRDefault="00E8064D" w:rsidP="00555834">
      <w:pPr>
        <w:spacing w:line="480" w:lineRule="auto"/>
      </w:pPr>
      <w:r>
        <w:tab/>
      </w:r>
      <w:r w:rsidR="0028703C">
        <w:t xml:space="preserve">In Gilbert Ryle’s essay, </w:t>
      </w:r>
      <w:r w:rsidR="002A3ED4">
        <w:t>“The Theor</w:t>
      </w:r>
      <w:r w:rsidR="007065E4">
        <w:t xml:space="preserve">y of Meaning” he proposes </w:t>
      </w:r>
      <w:r w:rsidR="0028703C">
        <w:t>a Wittgensteinian</w:t>
      </w:r>
      <w:r w:rsidR="002A3ED4">
        <w:t xml:space="preserve"> pragmatism wherein the worth of a statement is not </w:t>
      </w:r>
      <w:r w:rsidR="003C406D">
        <w:t xml:space="preserve">the </w:t>
      </w:r>
      <w:r w:rsidR="00262573">
        <w:t>meaning (think canonical definition)</w:t>
      </w:r>
      <w:r w:rsidR="002A3ED4">
        <w:t xml:space="preserve"> </w:t>
      </w:r>
      <w:r w:rsidR="003C406D">
        <w:t>it possesses but rather the use there</w:t>
      </w:r>
      <w:r w:rsidR="000427B5">
        <w:t>of. This is what is meant by, “t</w:t>
      </w:r>
      <w:r w:rsidR="003C406D">
        <w:t xml:space="preserve">he use of </w:t>
      </w:r>
      <w:r w:rsidR="007065E4">
        <w:t>an expression, or the concept it</w:t>
      </w:r>
      <w:r w:rsidR="003C406D">
        <w:t xml:space="preserve"> expresses, is the role it is employed to perform, not any thing or person or event for which it might b</w:t>
      </w:r>
      <w:r w:rsidR="002B71A8">
        <w:t>e supposed to stand” (Caton, pg.</w:t>
      </w:r>
      <w:r w:rsidR="003C406D">
        <w:t xml:space="preserve"> 144). Ryle proposed this as a theory of meaning (there is </w:t>
      </w:r>
      <w:r>
        <w:t>potentially</w:t>
      </w:r>
      <w:r w:rsidR="003C406D">
        <w:t xml:space="preserve"> an issue with calling a theory of meaning so when it disregards meaning as a useful concept, but this nicety can rest for now) derived from Wittgenstein’s </w:t>
      </w:r>
      <w:r w:rsidR="003C406D">
        <w:rPr>
          <w:i/>
        </w:rPr>
        <w:t xml:space="preserve">Tractatus, </w:t>
      </w:r>
      <w:r w:rsidR="007065E4">
        <w:t>but Wittg</w:t>
      </w:r>
      <w:r w:rsidR="003C406D">
        <w:t>enstein makes this view more ap</w:t>
      </w:r>
      <w:r>
        <w:t xml:space="preserve">parent in later work such as </w:t>
      </w:r>
      <w:r w:rsidR="003C406D">
        <w:rPr>
          <w:i/>
        </w:rPr>
        <w:t xml:space="preserve">Remarks on Colour. </w:t>
      </w:r>
      <w:r w:rsidR="003C406D">
        <w:t>It is the expression of this same sentiment Wittgenstein is suggesting with statements such as, “</w:t>
      </w:r>
      <w:r>
        <w:t xml:space="preserve">here too it is not a matter of the </w:t>
      </w:r>
      <w:r>
        <w:rPr>
          <w:i/>
        </w:rPr>
        <w:t xml:space="preserve">words </w:t>
      </w:r>
      <w:r>
        <w:t xml:space="preserve">one uses or of what one is thinking when using them, but rather of the difference they make </w:t>
      </w:r>
      <w:r w:rsidR="007065E4">
        <w:t>at various points in life” (Wittg</w:t>
      </w:r>
      <w:r>
        <w:t xml:space="preserve">enstein, 317. pg. 58e-59e). </w:t>
      </w:r>
    </w:p>
    <w:p w:rsidR="000E0CD6" w:rsidRDefault="00E8064D" w:rsidP="00555834">
      <w:pPr>
        <w:spacing w:line="480" w:lineRule="auto"/>
      </w:pPr>
      <w:r>
        <w:tab/>
        <w:t xml:space="preserve"> Now, what of when someone utters a statement of contradiction? For example, the sentiment derived from</w:t>
      </w:r>
      <w:r w:rsidR="001F5A4A">
        <w:t xml:space="preserve"> (</w:t>
      </w:r>
      <w:r w:rsidR="007E63CE">
        <w:t>al</w:t>
      </w:r>
      <w:r w:rsidR="001F5A4A">
        <w:t>though Socrates never utters this explicitly)</w:t>
      </w:r>
      <w:r>
        <w:t xml:space="preserve"> </w:t>
      </w:r>
      <w:r w:rsidR="001F5A4A">
        <w:t>what is referred to as the Socratic Paradox which states, “The only thing I can be sure of is that I’ll never be sure of anything,” in various forms (Apology, 21d-e). This is surely a logical contradiction, for, in simpler form, this sentiment stat</w:t>
      </w:r>
      <w:r w:rsidR="00553737">
        <w:t>es</w:t>
      </w:r>
      <w:r w:rsidR="00570F9C">
        <w:t>,</w:t>
      </w:r>
      <w:r w:rsidR="007065E4">
        <w:t xml:space="preserve"> “</w:t>
      </w:r>
      <w:r w:rsidR="00CD07E8">
        <w:t xml:space="preserve">I know that </w:t>
      </w:r>
      <w:r w:rsidR="00CD07E8" w:rsidRPr="00CD07E8">
        <w:rPr>
          <w:i/>
        </w:rPr>
        <w:t>p</w:t>
      </w:r>
      <w:r w:rsidR="007065E4">
        <w:t xml:space="preserve"> and it is not the case that I know that</w:t>
      </w:r>
      <w:r w:rsidR="00CD07E8">
        <w:t xml:space="preserve"> </w:t>
      </w:r>
      <w:r w:rsidR="00CD07E8" w:rsidRPr="00CD07E8">
        <w:rPr>
          <w:i/>
        </w:rPr>
        <w:t>p</w:t>
      </w:r>
      <w:r w:rsidR="00553737">
        <w:t>,</w:t>
      </w:r>
      <w:r w:rsidR="007065E4">
        <w:t>”</w:t>
      </w:r>
      <w:r w:rsidR="00553737">
        <w:t xml:space="preserve"> or simply,</w:t>
      </w:r>
      <w:r w:rsidR="00CD07E8">
        <w:t xml:space="preserve"> </w:t>
      </w:r>
      <w:r w:rsidR="00553737">
        <w:t>“</w:t>
      </w:r>
      <w:r w:rsidR="00CD07E8">
        <w:rPr>
          <w:i/>
        </w:rPr>
        <w:t>p</w:t>
      </w:r>
      <w:r w:rsidR="00CD07E8">
        <w:t xml:space="preserve"> &amp; ~</w:t>
      </w:r>
      <w:r w:rsidR="00CD07E8">
        <w:rPr>
          <w:i/>
        </w:rPr>
        <w:t>p</w:t>
      </w:r>
      <w:r w:rsidR="000E0CD6">
        <w:t>.</w:t>
      </w:r>
      <w:r w:rsidR="00553737">
        <w:t>”</w:t>
      </w:r>
      <w:r w:rsidR="000E0CD6">
        <w:t xml:space="preserve"> </w:t>
      </w:r>
      <w:r w:rsidR="000427B5">
        <w:t>W</w:t>
      </w:r>
      <w:r w:rsidR="000E0CD6">
        <w:t xml:space="preserve">hat of the case where the person uttering said </w:t>
      </w:r>
      <w:r w:rsidR="003E13BD">
        <w:t xml:space="preserve">falsity </w:t>
      </w:r>
      <w:r w:rsidR="000E0CD6">
        <w:t xml:space="preserve">insists </w:t>
      </w:r>
      <w:r w:rsidR="003E13BD">
        <w:t>it</w:t>
      </w:r>
      <w:r w:rsidR="000E0CD6">
        <w:t xml:space="preserve"> is the </w:t>
      </w:r>
      <w:r w:rsidR="003E13BD">
        <w:t>correct</w:t>
      </w:r>
      <w:r w:rsidR="000E0CD6">
        <w:t xml:space="preserve"> expression? Perhaps, they claim,</w:t>
      </w:r>
      <w:r w:rsidR="007E63CE">
        <w:t xml:space="preserve"> it is</w:t>
      </w:r>
      <w:r w:rsidR="000E0CD6">
        <w:t xml:space="preserve"> not </w:t>
      </w:r>
      <w:r w:rsidR="000E0CD6" w:rsidRPr="007E63CE">
        <w:rPr>
          <w:i/>
        </w:rPr>
        <w:t>only</w:t>
      </w:r>
      <w:r w:rsidR="000E0CD6">
        <w:t xml:space="preserve"> the proper expression, but also the one used out of </w:t>
      </w:r>
      <w:r w:rsidR="0028703C">
        <w:t>linguistic</w:t>
      </w:r>
      <w:r w:rsidR="00322EB7">
        <w:t xml:space="preserve"> </w:t>
      </w:r>
      <w:r w:rsidR="00570F9C">
        <w:t xml:space="preserve">necessity: </w:t>
      </w:r>
      <w:r w:rsidR="000E0CD6">
        <w:t xml:space="preserve">it is the </w:t>
      </w:r>
      <w:r w:rsidR="000E0CD6" w:rsidRPr="007E63CE">
        <w:rPr>
          <w:i/>
        </w:rPr>
        <w:t>only</w:t>
      </w:r>
      <w:r w:rsidR="000E0CD6">
        <w:t xml:space="preserve"> way in which to </w:t>
      </w:r>
      <w:r w:rsidR="000427B5">
        <w:t>convey the proper meaning to the listener.</w:t>
      </w:r>
      <w:r w:rsidR="000E0CD6">
        <w:t xml:space="preserve"> </w:t>
      </w:r>
      <w:r w:rsidR="00057CDF">
        <w:t xml:space="preserve">Further, they claim, no semantical breakdown or denotative interpretation of the contradiction will suffice other than the </w:t>
      </w:r>
      <w:r w:rsidR="00262573">
        <w:t xml:space="preserve">contradiction itself: the contradiction </w:t>
      </w:r>
      <w:r w:rsidR="00570F9C">
        <w:t>might very well</w:t>
      </w:r>
      <w:r w:rsidR="00262573">
        <w:t xml:space="preserve"> be the closest thing to </w:t>
      </w:r>
      <w:r w:rsidR="007065E4">
        <w:t xml:space="preserve">express </w:t>
      </w:r>
      <w:r w:rsidR="00262573">
        <w:t xml:space="preserve">knowledge one can obtain.  </w:t>
      </w:r>
    </w:p>
    <w:p w:rsidR="001F7D7B" w:rsidRDefault="000E0CD6" w:rsidP="00555834">
      <w:pPr>
        <w:spacing w:line="480" w:lineRule="auto"/>
      </w:pPr>
      <w:r>
        <w:tab/>
        <w:t xml:space="preserve">Let us suppose this is the case: linguistic contradictions are uttered out of necessity. This can provide insight into the seemingly </w:t>
      </w:r>
      <w:r w:rsidR="00262573">
        <w:t>non-rational</w:t>
      </w:r>
      <w:r>
        <w:t xml:space="preserve"> te</w:t>
      </w:r>
      <w:r w:rsidR="007E63CE">
        <w:t>achings</w:t>
      </w:r>
      <w:r w:rsidR="00610CCA">
        <w:t xml:space="preserve"> (</w:t>
      </w:r>
      <w:r w:rsidR="00262573">
        <w:t xml:space="preserve">here I wish to make use </w:t>
      </w:r>
      <w:r w:rsidR="00CA48EF">
        <w:t>of non-rational</w:t>
      </w:r>
      <w:r w:rsidR="00262573">
        <w:t xml:space="preserve"> in the Ottoian sense</w:t>
      </w:r>
      <w:r w:rsidR="00570F9C">
        <w:t>, where the non-rational</w:t>
      </w:r>
      <w:r w:rsidR="007065E4">
        <w:t xml:space="preserve"> is maintained</w:t>
      </w:r>
      <w:r w:rsidR="00570F9C">
        <w:t xml:space="preserve"> as a meaningful alternative to rationality, rather than irrational</w:t>
      </w:r>
      <w:r w:rsidR="00262573">
        <w:t>)</w:t>
      </w:r>
      <w:r w:rsidR="008C679F">
        <w:t xml:space="preserve"> of Buddhism</w:t>
      </w:r>
      <w:r w:rsidR="007E63CE">
        <w:t xml:space="preserve">, for example, the necessity of mutual arising from being and non-being, </w:t>
      </w:r>
      <w:r w:rsidR="001F7D7B">
        <w:t xml:space="preserve">Buddha’s </w:t>
      </w:r>
      <w:r w:rsidR="00570F9C">
        <w:t>proposed</w:t>
      </w:r>
      <w:r w:rsidR="001F7D7B">
        <w:t xml:space="preserve"> ‘middle way’, and the moral mandate to hold no extreme ideologies</w:t>
      </w:r>
      <w:r w:rsidR="00610CCA">
        <w:t xml:space="preserve"> (Otto, pp. xxi-4)</w:t>
      </w:r>
      <w:r w:rsidR="007E63CE">
        <w:t xml:space="preserve">. </w:t>
      </w:r>
      <w:r w:rsidR="008C679F">
        <w:t xml:space="preserve">Buddhist practitioners </w:t>
      </w:r>
      <w:r w:rsidR="00322EB7">
        <w:t xml:space="preserve">are entirely comfortable with the notion that there are times when </w:t>
      </w:r>
      <w:r w:rsidR="0028703C">
        <w:t xml:space="preserve">contradictions, as pragmatic </w:t>
      </w:r>
      <w:r w:rsidR="00322EB7">
        <w:t>and pedagogical tool</w:t>
      </w:r>
      <w:r w:rsidR="00570F9C">
        <w:t>s</w:t>
      </w:r>
      <w:r w:rsidR="0028703C">
        <w:t>,</w:t>
      </w:r>
      <w:r w:rsidR="00322EB7">
        <w:t xml:space="preserve"> are </w:t>
      </w:r>
      <w:r w:rsidR="00555834">
        <w:t>the necessary</w:t>
      </w:r>
      <w:r w:rsidR="00322EB7">
        <w:t xml:space="preserve"> way</w:t>
      </w:r>
      <w:r w:rsidR="00555834">
        <w:t>s</w:t>
      </w:r>
      <w:r w:rsidR="00322EB7">
        <w:t xml:space="preserve"> to express the ‘meaning’ of what one says. This is the working behind what Edelglass means when he states, “the Buddhist teachings are a </w:t>
      </w:r>
      <w:r w:rsidR="00322EB7">
        <w:rPr>
          <w:i/>
        </w:rPr>
        <w:t xml:space="preserve">means </w:t>
      </w:r>
      <w:r w:rsidR="00322EB7">
        <w:t xml:space="preserve">of helping people,” in an effort to explain, for example, </w:t>
      </w:r>
      <w:r w:rsidR="0008437C">
        <w:t>a</w:t>
      </w:r>
      <w:r w:rsidR="00322EB7">
        <w:t xml:space="preserve"> Buddhist teaching similar to the Socratic Paradox to hold no extreme ideologies. </w:t>
      </w:r>
      <w:r w:rsidR="00555834">
        <w:t>Edelglass ex</w:t>
      </w:r>
      <w:r w:rsidR="00570F9C">
        <w:t>plains this teaching further, “a</w:t>
      </w:r>
      <w:r w:rsidR="00555834">
        <w:t>ccording to Buddhist teachings, knowledge itself can be an obstacle to true understanding, and views can be a barrier to insight” (Edelglass, pp. 441-442). Perhaps, when examined through this lens, contradictions arise not out of nonsense and die usele</w:t>
      </w:r>
      <w:r w:rsidR="00CA48EF">
        <w:t>ss but rather out of necessity.</w:t>
      </w:r>
    </w:p>
    <w:p w:rsidR="00555834" w:rsidRDefault="001F7D7B" w:rsidP="00555834">
      <w:pPr>
        <w:spacing w:line="480" w:lineRule="auto"/>
      </w:pPr>
      <w:r>
        <w:tab/>
        <w:t>Up to this point, it seems as if Western philosophy has fallen sho</w:t>
      </w:r>
      <w:r w:rsidR="00CA48EF">
        <w:t>rt of Eastern teachings:</w:t>
      </w:r>
      <w:r w:rsidR="00E809DA">
        <w:t xml:space="preserve"> </w:t>
      </w:r>
      <w:r>
        <w:t>this m</w:t>
      </w:r>
      <w:r w:rsidR="00CA48EF">
        <w:t>ay not be the case entirely, but, at a minimum</w:t>
      </w:r>
      <w:r w:rsidR="008C679F">
        <w:t>, Western thought in general has epitomized</w:t>
      </w:r>
      <w:r>
        <w:t xml:space="preserve"> the scientific, mechanical, and masculinized processes o</w:t>
      </w:r>
      <w:r w:rsidR="00E809DA">
        <w:t xml:space="preserve">f </w:t>
      </w:r>
      <w:r w:rsidR="00CA48EF">
        <w:t>logic</w:t>
      </w:r>
      <w:r w:rsidR="00E809DA">
        <w:t xml:space="preserve"> over all else. Perha</w:t>
      </w:r>
      <w:r w:rsidR="00CA48EF">
        <w:t>ps</w:t>
      </w:r>
      <w:r w:rsidR="00E809DA">
        <w:t xml:space="preserve"> </w:t>
      </w:r>
      <w:r w:rsidR="00CA48EF">
        <w:t>we are</w:t>
      </w:r>
      <w:r>
        <w:t xml:space="preserve"> dreadfully fearful o</w:t>
      </w:r>
      <w:r w:rsidR="00E809DA">
        <w:t>f allowing room for uncertainty,</w:t>
      </w:r>
      <w:r w:rsidR="00CA48EF">
        <w:t xml:space="preserve"> that which patriarchy calls</w:t>
      </w:r>
      <w:r w:rsidR="00E809DA">
        <w:t xml:space="preserve"> the</w:t>
      </w:r>
      <w:r w:rsidR="008C679F">
        <w:t xml:space="preserve"> conquerable</w:t>
      </w:r>
      <w:r w:rsidR="00E809DA">
        <w:t xml:space="preserve"> natural</w:t>
      </w:r>
      <w:r w:rsidR="00CA48EF">
        <w:t xml:space="preserve"> world</w:t>
      </w:r>
      <w:r w:rsidR="00E809DA">
        <w:t xml:space="preserve">, </w:t>
      </w:r>
      <w:r w:rsidR="00CA48EF">
        <w:t xml:space="preserve">the </w:t>
      </w:r>
      <w:r w:rsidR="00E809DA">
        <w:t xml:space="preserve">feminine, </w:t>
      </w:r>
      <w:r w:rsidR="00CA48EF">
        <w:t xml:space="preserve">the </w:t>
      </w:r>
      <w:r w:rsidR="00E809DA">
        <w:t>sp</w:t>
      </w:r>
      <w:r w:rsidR="00CA48EF">
        <w:t>iritual, and the non-rational. As a case in point, let us c</w:t>
      </w:r>
      <w:r w:rsidR="00E809DA">
        <w:t>onsider the</w:t>
      </w:r>
      <w:r>
        <w:t xml:space="preserve"> simple development</w:t>
      </w:r>
      <w:r w:rsidR="00CC4E98">
        <w:t xml:space="preserve"> </w:t>
      </w:r>
      <w:r>
        <w:t>of</w:t>
      </w:r>
      <w:r w:rsidR="00CC4E98">
        <w:t xml:space="preserve"> a</w:t>
      </w:r>
      <w:r>
        <w:t xml:space="preserve"> set </w:t>
      </w:r>
      <w:r w:rsidR="00E809DA">
        <w:t xml:space="preserve">wherein all members </w:t>
      </w:r>
      <w:r w:rsidR="00CA48EF">
        <w:t xml:space="preserve">of the set must satisfy the parameters of attributes </w:t>
      </w:r>
      <w:r w:rsidR="007065E4">
        <w:t>‘x &amp;</w:t>
      </w:r>
      <w:r w:rsidR="00CC4E98">
        <w:t xml:space="preserve"> ~x’</w:t>
      </w:r>
      <w:r w:rsidR="0028703C">
        <w:t xml:space="preserve">. </w:t>
      </w:r>
      <w:r w:rsidR="00E809DA">
        <w:t>Of cour</w:t>
      </w:r>
      <w:r w:rsidR="00CC4E98">
        <w:t xml:space="preserve">se, any good logician knows </w:t>
      </w:r>
      <w:r w:rsidR="004E4333">
        <w:t xml:space="preserve">this set </w:t>
      </w:r>
      <w:r w:rsidR="006638E9">
        <w:t>to</w:t>
      </w:r>
      <w:r w:rsidR="004E4333">
        <w:t xml:space="preserve"> contain no members, and the logical positivist will know this set to be utterly </w:t>
      </w:r>
      <w:r w:rsidR="008C679F">
        <w:t>false</w:t>
      </w:r>
      <w:r w:rsidR="0028703C">
        <w:t xml:space="preserve"> and fruitless </w:t>
      </w:r>
      <w:r w:rsidR="00CC4E98">
        <w:t xml:space="preserve"> </w:t>
      </w:r>
      <w:r w:rsidR="0028703C">
        <w:t xml:space="preserve">(Irvine). </w:t>
      </w:r>
      <w:r w:rsidR="00CC4E98">
        <w:t xml:space="preserve">Now consider the Buddhist insight: there is a self, and there is not a self (we can define these parameters as ‘s </w:t>
      </w:r>
      <w:r w:rsidR="0028703C">
        <w:t>&amp;</w:t>
      </w:r>
      <w:r w:rsidR="00CC4E98">
        <w:t xml:space="preserve"> ~s</w:t>
      </w:r>
      <w:r w:rsidR="004E4333">
        <w:t>’</w:t>
      </w:r>
      <w:r w:rsidR="00CC4E98">
        <w:t xml:space="preserve"> for consistency). The</w:t>
      </w:r>
      <w:r w:rsidR="004E4333">
        <w:t xml:space="preserve"> practicing</w:t>
      </w:r>
      <w:r w:rsidR="00CC4E98">
        <w:t xml:space="preserve"> Buddhist will know this se</w:t>
      </w:r>
      <w:r w:rsidR="004E4333">
        <w:t>t to contain all of the cosmos and</w:t>
      </w:r>
      <w:r w:rsidR="002308FE">
        <w:t>,</w:t>
      </w:r>
      <w:r w:rsidR="004E4333">
        <w:t xml:space="preserve"> furthermore</w:t>
      </w:r>
      <w:r w:rsidR="002308FE">
        <w:t>,</w:t>
      </w:r>
      <w:r w:rsidR="004E4333">
        <w:t xml:space="preserve"> will know this </w:t>
      </w:r>
      <w:r w:rsidR="00AD1E45">
        <w:t>koan</w:t>
      </w:r>
      <w:r w:rsidR="004E4333">
        <w:t xml:space="preserve"> to be a </w:t>
      </w:r>
      <w:r w:rsidR="0028703C">
        <w:t xml:space="preserve">single </w:t>
      </w:r>
      <w:r w:rsidR="004E4333">
        <w:t xml:space="preserve">step in a long journey of </w:t>
      </w:r>
      <w:r w:rsidR="00CA48EF">
        <w:t>meaningful</w:t>
      </w:r>
      <w:r w:rsidR="004E4333">
        <w:t xml:space="preserve"> contradictions. At risk of sounding cliché, the </w:t>
      </w:r>
      <w:r w:rsidR="006638E9">
        <w:t>difference in Western and Eastern thought might simply be a, “two sides of the same coin</w:t>
      </w:r>
      <w:r w:rsidR="00CA48EF">
        <w:t>,</w:t>
      </w:r>
      <w:r w:rsidR="006638E9">
        <w:t>” case. Perhaps</w:t>
      </w:r>
      <w:r w:rsidR="00CA48EF">
        <w:t>,</w:t>
      </w:r>
      <w:r w:rsidR="006638E9">
        <w:t xml:space="preserve"> though, one side perpetuates suffering, while the other allows </w:t>
      </w:r>
      <w:r w:rsidR="002308FE">
        <w:t>for a playful</w:t>
      </w:r>
      <w:r w:rsidR="006638E9">
        <w:t xml:space="preserve"> </w:t>
      </w:r>
      <w:r w:rsidR="006344BB">
        <w:t>toil</w:t>
      </w:r>
      <w:r w:rsidR="002308FE">
        <w:t xml:space="preserve">ing with the </w:t>
      </w:r>
      <w:r w:rsidR="002E058A">
        <w:t xml:space="preserve">consensual </w:t>
      </w:r>
      <w:r w:rsidR="002308FE">
        <w:t>drama at hand: to find the cosmos at large, from the awe-filled to the mundane, as a fundamentally relational experience</w:t>
      </w:r>
      <w:r w:rsidR="00610CCA">
        <w:t>:</w:t>
      </w:r>
      <w:r w:rsidR="002308FE">
        <w:t xml:space="preserve"> </w:t>
      </w:r>
      <w:r w:rsidR="00610CCA">
        <w:t xml:space="preserve">given all at once, and not at all. </w:t>
      </w:r>
      <w:r w:rsidR="002308FE">
        <w:t xml:space="preserve">  </w:t>
      </w:r>
    </w:p>
    <w:p w:rsidR="00555834" w:rsidRDefault="00555834" w:rsidP="00555834">
      <w:pPr>
        <w:spacing w:line="480" w:lineRule="auto"/>
      </w:pPr>
    </w:p>
    <w:p w:rsidR="00057CDF" w:rsidRDefault="00057CDF" w:rsidP="00555834">
      <w:pPr>
        <w:spacing w:line="480" w:lineRule="auto"/>
      </w:pPr>
    </w:p>
    <w:p w:rsidR="007065E4" w:rsidRDefault="007065E4" w:rsidP="00555834">
      <w:pPr>
        <w:spacing w:line="480" w:lineRule="auto"/>
        <w:jc w:val="center"/>
      </w:pPr>
    </w:p>
    <w:p w:rsidR="0028703C" w:rsidRDefault="0028703C" w:rsidP="00555834">
      <w:pPr>
        <w:spacing w:line="480" w:lineRule="auto"/>
        <w:jc w:val="center"/>
      </w:pPr>
    </w:p>
    <w:p w:rsidR="0028703C" w:rsidRDefault="0028703C" w:rsidP="00555834">
      <w:pPr>
        <w:spacing w:line="480" w:lineRule="auto"/>
        <w:jc w:val="center"/>
      </w:pPr>
    </w:p>
    <w:p w:rsidR="0028703C" w:rsidRDefault="0028703C" w:rsidP="00555834">
      <w:pPr>
        <w:spacing w:line="480" w:lineRule="auto"/>
        <w:jc w:val="center"/>
      </w:pPr>
    </w:p>
    <w:p w:rsidR="0028703C" w:rsidRDefault="0028703C" w:rsidP="00555834">
      <w:pPr>
        <w:spacing w:line="480" w:lineRule="auto"/>
        <w:jc w:val="center"/>
      </w:pPr>
    </w:p>
    <w:p w:rsidR="00555834" w:rsidRDefault="00555834" w:rsidP="00555834">
      <w:pPr>
        <w:spacing w:line="480" w:lineRule="auto"/>
        <w:jc w:val="center"/>
      </w:pPr>
      <w:r>
        <w:t>References Cited</w:t>
      </w:r>
    </w:p>
    <w:p w:rsidR="00726D28" w:rsidRDefault="00555834" w:rsidP="00555834">
      <w:pPr>
        <w:spacing w:line="480" w:lineRule="auto"/>
      </w:pPr>
      <w:r>
        <w:t xml:space="preserve">Caton, Charles. </w:t>
      </w:r>
      <w:r>
        <w:rPr>
          <w:i/>
        </w:rPr>
        <w:t xml:space="preserve">Philosophy and Ordinary Language. </w:t>
      </w:r>
      <w:r>
        <w:t xml:space="preserve">Urbana, University of Illinois </w:t>
      </w:r>
      <w:r>
        <w:tab/>
        <w:t>Press, 1963.</w:t>
      </w:r>
    </w:p>
    <w:p w:rsidR="00726D28" w:rsidRDefault="00726D28" w:rsidP="00726D28">
      <w:pPr>
        <w:spacing w:line="480" w:lineRule="auto"/>
      </w:pPr>
      <w:r>
        <w:t xml:space="preserve">Edelglass, William and Garfield, Jay L. </w:t>
      </w:r>
      <w:r>
        <w:rPr>
          <w:i/>
        </w:rPr>
        <w:t xml:space="preserve">Buddhist Philosophy: Essential Readings. </w:t>
      </w:r>
      <w:r>
        <w:t xml:space="preserve">New </w:t>
      </w:r>
      <w:r>
        <w:tab/>
        <w:t xml:space="preserve">York, Oxford University Press, 2009. </w:t>
      </w:r>
    </w:p>
    <w:p w:rsidR="00726D28" w:rsidRDefault="00726D28" w:rsidP="00555834">
      <w:pPr>
        <w:spacing w:line="480" w:lineRule="auto"/>
        <w:rPr>
          <w:rFonts w:ascii="Cambri (Body)" w:hAnsi="Cambri (Body)"/>
          <w:color w:val="1A1A1A"/>
          <w:szCs w:val="30"/>
        </w:rPr>
      </w:pPr>
      <w:r w:rsidRPr="00726D28">
        <w:rPr>
          <w:rFonts w:ascii="Cambri (Body)" w:hAnsi="Cambri (Body)"/>
          <w:color w:val="1A1A1A"/>
          <w:szCs w:val="30"/>
        </w:rPr>
        <w:t>Irvine, Andrew David and Deutsch, Harry, "Russell's Paradox",</w:t>
      </w:r>
      <w:r w:rsidRPr="00726D28">
        <w:rPr>
          <w:rFonts w:ascii="Cambri (Body)" w:hAnsi="Cambri (Body)"/>
          <w:color w:val="1A1A1A"/>
        </w:rPr>
        <w:t> </w:t>
      </w:r>
      <w:r w:rsidRPr="00726D28">
        <w:rPr>
          <w:rFonts w:ascii="Cambri (Body)" w:hAnsi="Cambri (Body)"/>
          <w:i/>
          <w:iCs/>
          <w:color w:val="1A1A1A"/>
        </w:rPr>
        <w:t xml:space="preserve">The Stanford </w:t>
      </w:r>
      <w:r>
        <w:rPr>
          <w:rFonts w:ascii="Cambri (Body)" w:hAnsi="Cambri (Body)"/>
          <w:i/>
          <w:iCs/>
          <w:color w:val="1A1A1A"/>
        </w:rPr>
        <w:tab/>
      </w:r>
      <w:r w:rsidRPr="00726D28">
        <w:rPr>
          <w:rFonts w:ascii="Cambri (Body)" w:hAnsi="Cambri (Body)"/>
          <w:i/>
          <w:iCs/>
          <w:color w:val="1A1A1A"/>
        </w:rPr>
        <w:t>Encyclopedia of Philosophy </w:t>
      </w:r>
      <w:r w:rsidRPr="00726D28">
        <w:rPr>
          <w:rFonts w:ascii="Cambri (Body)" w:hAnsi="Cambri (Body)"/>
          <w:color w:val="1A1A1A"/>
          <w:szCs w:val="30"/>
        </w:rPr>
        <w:t>(Winter 2016 Edition), Edward N. Zalta (ed.),</w:t>
      </w:r>
      <w:r>
        <w:rPr>
          <w:rFonts w:ascii="Cambri (Body)" w:hAnsi="Cambri (Body)"/>
          <w:color w:val="1A1A1A"/>
          <w:szCs w:val="30"/>
        </w:rPr>
        <w:t xml:space="preserve"> </w:t>
      </w:r>
      <w:r>
        <w:rPr>
          <w:rFonts w:ascii="Cambri (Body)" w:hAnsi="Cambri (Body)"/>
          <w:color w:val="1A1A1A"/>
          <w:szCs w:val="30"/>
        </w:rPr>
        <w:tab/>
      </w:r>
      <w:r w:rsidRPr="00726D28">
        <w:rPr>
          <w:rFonts w:ascii="Cambri (Body)" w:hAnsi="Cambri (Body)"/>
          <w:color w:val="1A1A1A"/>
          <w:szCs w:val="30"/>
        </w:rPr>
        <w:t>https://plato.stanford.edu/archives/win2016/entries/russell-paradox</w:t>
      </w:r>
      <w:r>
        <w:rPr>
          <w:rFonts w:ascii="Cambri (Body)" w:hAnsi="Cambri (Body)"/>
          <w:color w:val="1A1A1A"/>
          <w:szCs w:val="30"/>
        </w:rPr>
        <w:t>/</w:t>
      </w:r>
    </w:p>
    <w:p w:rsidR="00726D28" w:rsidRPr="00726D28" w:rsidRDefault="00726D28" w:rsidP="00555834">
      <w:pPr>
        <w:spacing w:line="480" w:lineRule="auto"/>
        <w:rPr>
          <w:rFonts w:ascii="Cambri (Body)" w:hAnsi="Cambri (Body)"/>
          <w:color w:val="1A1A1A"/>
          <w:szCs w:val="30"/>
        </w:rPr>
      </w:pPr>
      <w:r>
        <w:rPr>
          <w:rFonts w:ascii="Cambri (Body)" w:hAnsi="Cambri (Body)"/>
          <w:color w:val="1A1A1A"/>
          <w:szCs w:val="30"/>
        </w:rPr>
        <w:t xml:space="preserve">Otto, Rudolf. </w:t>
      </w:r>
      <w:r>
        <w:rPr>
          <w:rFonts w:ascii="Cambri (Body)" w:hAnsi="Cambri (Body)"/>
          <w:i/>
          <w:color w:val="1A1A1A"/>
          <w:szCs w:val="30"/>
        </w:rPr>
        <w:t xml:space="preserve">Idea of the Holy: An inquiry into the non-rational factor in the idea of the </w:t>
      </w:r>
      <w:r>
        <w:rPr>
          <w:rFonts w:ascii="Cambri (Body)" w:hAnsi="Cambri (Body)"/>
          <w:i/>
          <w:color w:val="1A1A1A"/>
          <w:szCs w:val="30"/>
        </w:rPr>
        <w:tab/>
        <w:t xml:space="preserve">divine and its relation to the rational, </w:t>
      </w:r>
      <w:r>
        <w:rPr>
          <w:rFonts w:ascii="Cambri (Body)" w:hAnsi="Cambri (Body)"/>
          <w:color w:val="1A1A1A"/>
          <w:szCs w:val="30"/>
        </w:rPr>
        <w:t xml:space="preserve">London, Oxford, New York, Oxford </w:t>
      </w:r>
      <w:r>
        <w:rPr>
          <w:rFonts w:ascii="Cambri (Body)" w:hAnsi="Cambri (Body)"/>
          <w:color w:val="1A1A1A"/>
          <w:szCs w:val="30"/>
        </w:rPr>
        <w:tab/>
        <w:t>University Press, 1977.</w:t>
      </w:r>
    </w:p>
    <w:p w:rsidR="002B71A8" w:rsidRPr="00726D28" w:rsidRDefault="00726D28" w:rsidP="00555834">
      <w:pPr>
        <w:spacing w:line="480" w:lineRule="auto"/>
      </w:pPr>
      <w:r>
        <w:t xml:space="preserve">Plato. </w:t>
      </w:r>
      <w:r w:rsidRPr="00555834">
        <w:rPr>
          <w:i/>
        </w:rPr>
        <w:t>Fiv</w:t>
      </w:r>
      <w:r>
        <w:rPr>
          <w:i/>
        </w:rPr>
        <w:t xml:space="preserve">e Dialogues. </w:t>
      </w:r>
      <w:r>
        <w:t>Translated by G.M.A. Grube, Revised by Cooper. 2</w:t>
      </w:r>
      <w:r w:rsidRPr="00555834">
        <w:rPr>
          <w:vertAlign w:val="superscript"/>
        </w:rPr>
        <w:t>nd</w:t>
      </w:r>
      <w:r>
        <w:t xml:space="preserve"> Ed. </w:t>
      </w:r>
      <w:r>
        <w:tab/>
        <w:t xml:space="preserve">Cambridge, Hackett Publishing Co., 2002. </w:t>
      </w:r>
    </w:p>
    <w:p w:rsidR="00555834" w:rsidRPr="002B71A8" w:rsidRDefault="007065E4" w:rsidP="00555834">
      <w:pPr>
        <w:spacing w:line="480" w:lineRule="auto"/>
      </w:pPr>
      <w:r>
        <w:t>Wittg</w:t>
      </w:r>
      <w:r w:rsidR="002B71A8">
        <w:t xml:space="preserve">enstein, Ludwig. </w:t>
      </w:r>
      <w:r w:rsidR="002B71A8">
        <w:rPr>
          <w:i/>
        </w:rPr>
        <w:t>Remarks on Colour</w:t>
      </w:r>
      <w:r w:rsidR="002B71A8">
        <w:t xml:space="preserve">. Berkeley, University of California Press, </w:t>
      </w:r>
      <w:r w:rsidR="002B71A8">
        <w:tab/>
        <w:t>1978.</w:t>
      </w:r>
    </w:p>
    <w:p w:rsidR="00726D28" w:rsidRPr="00726D28" w:rsidRDefault="00726D28" w:rsidP="00726D28">
      <w:pPr>
        <w:spacing w:line="48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</w:p>
    <w:p w:rsidR="002A3ED4" w:rsidRPr="002B71A8" w:rsidRDefault="002A3ED4" w:rsidP="00555834">
      <w:pPr>
        <w:spacing w:line="480" w:lineRule="auto"/>
      </w:pPr>
    </w:p>
    <w:sectPr w:rsidR="002A3ED4" w:rsidRPr="002B71A8" w:rsidSect="002A3ED4">
      <w:headerReference w:type="even" r:id="rId4"/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 (Body)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3C" w:rsidRDefault="00BA7098" w:rsidP="004041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70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703C" w:rsidRDefault="0028703C" w:rsidP="0028703C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3C" w:rsidRDefault="00BA7098" w:rsidP="004041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70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D42">
      <w:rPr>
        <w:rStyle w:val="PageNumber"/>
        <w:noProof/>
      </w:rPr>
      <w:t>4</w:t>
    </w:r>
    <w:r>
      <w:rPr>
        <w:rStyle w:val="PageNumber"/>
      </w:rPr>
      <w:fldChar w:fldCharType="end"/>
    </w:r>
  </w:p>
  <w:p w:rsidR="0028703C" w:rsidRDefault="0028703C" w:rsidP="0028703C">
    <w:pPr>
      <w:pStyle w:val="Header"/>
      <w:ind w:right="360"/>
    </w:pPr>
    <w:r>
      <w:tab/>
      <w:t xml:space="preserve">                                                                                                                                         Bingaman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A3ED4"/>
    <w:rsid w:val="000427B5"/>
    <w:rsid w:val="00057CDF"/>
    <w:rsid w:val="0008437C"/>
    <w:rsid w:val="000C5F94"/>
    <w:rsid w:val="000E0CD6"/>
    <w:rsid w:val="001F5A4A"/>
    <w:rsid w:val="001F7D7B"/>
    <w:rsid w:val="0020557D"/>
    <w:rsid w:val="002308FE"/>
    <w:rsid w:val="00262573"/>
    <w:rsid w:val="0028703C"/>
    <w:rsid w:val="002A3ED4"/>
    <w:rsid w:val="002B71A8"/>
    <w:rsid w:val="002E058A"/>
    <w:rsid w:val="00322EB7"/>
    <w:rsid w:val="00370762"/>
    <w:rsid w:val="003829ED"/>
    <w:rsid w:val="003C406D"/>
    <w:rsid w:val="003D3626"/>
    <w:rsid w:val="003D46E5"/>
    <w:rsid w:val="003E13BD"/>
    <w:rsid w:val="004E4333"/>
    <w:rsid w:val="00553737"/>
    <w:rsid w:val="00555834"/>
    <w:rsid w:val="00570F9C"/>
    <w:rsid w:val="00575A79"/>
    <w:rsid w:val="00610CCA"/>
    <w:rsid w:val="006344BB"/>
    <w:rsid w:val="006638E9"/>
    <w:rsid w:val="007065E4"/>
    <w:rsid w:val="00726D28"/>
    <w:rsid w:val="007E63CE"/>
    <w:rsid w:val="008C679F"/>
    <w:rsid w:val="009F11C3"/>
    <w:rsid w:val="00AD1E45"/>
    <w:rsid w:val="00B665DA"/>
    <w:rsid w:val="00BA7098"/>
    <w:rsid w:val="00BE54E9"/>
    <w:rsid w:val="00BF6D42"/>
    <w:rsid w:val="00C44E33"/>
    <w:rsid w:val="00CA48EF"/>
    <w:rsid w:val="00CC4E98"/>
    <w:rsid w:val="00CD07E8"/>
    <w:rsid w:val="00D463D2"/>
    <w:rsid w:val="00D65114"/>
    <w:rsid w:val="00E8064D"/>
    <w:rsid w:val="00E809D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047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726D28"/>
  </w:style>
  <w:style w:type="character" w:styleId="Emphasis">
    <w:name w:val="Emphasis"/>
    <w:basedOn w:val="DefaultParagraphFont"/>
    <w:uiPriority w:val="20"/>
    <w:rsid w:val="00726D28"/>
    <w:rPr>
      <w:i/>
    </w:rPr>
  </w:style>
  <w:style w:type="paragraph" w:styleId="Header">
    <w:name w:val="header"/>
    <w:basedOn w:val="Normal"/>
    <w:link w:val="HeaderChar"/>
    <w:rsid w:val="00287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703C"/>
  </w:style>
  <w:style w:type="paragraph" w:styleId="Footer">
    <w:name w:val="footer"/>
    <w:basedOn w:val="Normal"/>
    <w:link w:val="FooterChar"/>
    <w:rsid w:val="00287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703C"/>
  </w:style>
  <w:style w:type="character" w:styleId="PageNumber">
    <w:name w:val="page number"/>
    <w:basedOn w:val="DefaultParagraphFont"/>
    <w:rsid w:val="00287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454">
          <w:blockQuote w:val="1"/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4735</Characters>
  <Application>Microsoft Macintosh Word</Application>
  <DocSecurity>0</DocSecurity>
  <Lines>39</Lines>
  <Paragraphs>9</Paragraphs>
  <ScaleCrop>false</ScaleCrop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Bingaman</dc:creator>
  <cp:keywords/>
  <cp:lastModifiedBy>Tanner Bingaman</cp:lastModifiedBy>
  <cp:revision>2</cp:revision>
  <dcterms:created xsi:type="dcterms:W3CDTF">2018-12-21T16:28:00Z</dcterms:created>
  <dcterms:modified xsi:type="dcterms:W3CDTF">2018-12-21T16:28:00Z</dcterms:modified>
</cp:coreProperties>
</file>